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D9" w:rsidRPr="007423CA" w:rsidRDefault="007423CA">
      <w:pPr>
        <w:rPr>
          <w:rFonts w:ascii="Arial" w:hAnsi="Arial" w:cs="Arial"/>
          <w:b/>
          <w:bCs/>
          <w:color w:val="000000"/>
          <w:spacing w:val="15"/>
          <w:sz w:val="40"/>
          <w:szCs w:val="40"/>
          <w:shd w:val="clear" w:color="auto" w:fill="FFFFFF"/>
        </w:rPr>
      </w:pPr>
      <w:r w:rsidRPr="007423CA">
        <w:rPr>
          <w:rFonts w:ascii="Arial" w:hAnsi="Arial" w:cs="Arial"/>
          <w:b/>
          <w:bCs/>
          <w:color w:val="000000"/>
          <w:spacing w:val="15"/>
          <w:sz w:val="40"/>
          <w:szCs w:val="40"/>
          <w:shd w:val="clear" w:color="auto" w:fill="FFFFFF"/>
        </w:rPr>
        <w:t>¿Imitó la Corte las medidas de ahorro que el Gobierno tomó en incentivos salariales?</w:t>
      </w:r>
    </w:p>
    <w:p w:rsidR="007423CA" w:rsidRPr="007423CA" w:rsidRDefault="007423CA" w:rsidP="007423CA">
      <w:pPr>
        <w:spacing w:after="0" w:line="240" w:lineRule="auto"/>
        <w:rPr>
          <w:rFonts w:ascii="Times New Roman" w:eastAsia="Times New Roman" w:hAnsi="Times New Roman" w:cs="Times New Roman"/>
          <w:sz w:val="24"/>
          <w:szCs w:val="24"/>
          <w:lang w:eastAsia="es-CR"/>
        </w:rPr>
      </w:pPr>
      <w:r w:rsidRPr="007423CA">
        <w:rPr>
          <w:rFonts w:ascii="Arial" w:eastAsia="Times New Roman" w:hAnsi="Arial" w:cs="Arial"/>
          <w:b/>
          <w:bCs/>
          <w:color w:val="4A4A4A"/>
          <w:sz w:val="21"/>
          <w:lang w:eastAsia="es-CR"/>
        </w:rPr>
        <w:t>Por: </w:t>
      </w:r>
      <w:hyperlink r:id="rId4" w:history="1">
        <w:r w:rsidRPr="007423CA">
          <w:rPr>
            <w:rFonts w:ascii="Arial" w:eastAsia="Times New Roman" w:hAnsi="Arial" w:cs="Arial"/>
            <w:b/>
            <w:bCs/>
            <w:color w:val="0000FF"/>
            <w:sz w:val="21"/>
            <w:u w:val="single"/>
            <w:lang w:eastAsia="es-CR"/>
          </w:rPr>
          <w:t>Silvia Artavia</w:t>
        </w:r>
      </w:hyperlink>
      <w:r w:rsidRPr="007423CA">
        <w:rPr>
          <w:rFonts w:ascii="Arial" w:eastAsia="Times New Roman" w:hAnsi="Arial" w:cs="Arial"/>
          <w:color w:val="4A4A4A"/>
          <w:sz w:val="21"/>
          <w:lang w:eastAsia="es-CR"/>
        </w:rPr>
        <w:t xml:space="preserve">.   </w:t>
      </w:r>
      <w:r>
        <w:rPr>
          <w:rFonts w:ascii="Arial" w:eastAsia="Times New Roman" w:hAnsi="Arial" w:cs="Arial"/>
          <w:color w:val="4A4A4A"/>
          <w:sz w:val="21"/>
          <w:lang w:eastAsia="es-CR"/>
        </w:rPr>
        <w:t>26 de junio de 2018</w:t>
      </w:r>
    </w:p>
    <w:p w:rsidR="007423CA" w:rsidRPr="007423CA" w:rsidRDefault="007423CA" w:rsidP="007423CA">
      <w:pPr>
        <w:spacing w:after="75" w:line="240" w:lineRule="auto"/>
        <w:rPr>
          <w:rFonts w:ascii="Arial" w:eastAsia="Times New Roman" w:hAnsi="Arial" w:cs="Arial"/>
          <w:sz w:val="27"/>
          <w:szCs w:val="27"/>
          <w:lang w:eastAsia="es-CR"/>
        </w:rPr>
      </w:pP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A la hora de decidir en dónde recortar dinero para el 2019, la cúpula del Poder Judicial dejó intactos los pluses salariales que reparte entre sus funcionarios, los cuales consumen la mayor parte de los gastos en una entidad que desembolsa, en promedio, ¢1 millón mensuales por empleado solo en incentivos.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El gobierno de Carlos Alvarado limitó el pago de pluses en los ministerios para evitarle una crisis económica a la población, y les solicitó a los demás poderes de la República imitar sus medidas de ahorro.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Sin embargo, la Corte no tocó los ¢155.000 millones que gasta en sus beneficios salariales, los cuales se comen una tercera parte de su presupuesto anual (de casi ¢475.000 millones).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Ese dinero, transferido por el Gobierno a la Corte para su funcionamiento, proviene de los impuestos cobrados a los contribuyentes.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Por ahora, el logro de la entidad es haber mantenido el presupuesto para el 2019 en el mismo monto estimado para el 2018 (¢474.800 millones).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La Corte proyectaba gastar ¢485.000 millones en el 2019, pero se comprometió con Hacienda a presupuestar los mismos ¢475.000 millones de este año, evitando un crecimiento de unos ¢10.000 millones.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La directora ejecutiva del Poder Judicial, Ana Eugenia Romero, declaró que la Corte tiene autonomía y cuenta con una ley de salarios propia por </w:t>
      </w:r>
      <w:r w:rsidRPr="007423CA">
        <w:rPr>
          <w:rFonts w:ascii="Arial" w:eastAsia="Times New Roman" w:hAnsi="Arial" w:cs="Arial"/>
          <w:color w:val="000000"/>
          <w:sz w:val="27"/>
          <w:szCs w:val="27"/>
          <w:lang w:eastAsia="es-CR"/>
        </w:rPr>
        <w:lastRenderedPageBreak/>
        <w:t>ser un poder de la República, por lo que no está obligada a acatar las medidas de restricción del gasto del Ejecutivo.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Por su parte, </w:t>
      </w:r>
      <w:proofErr w:type="spellStart"/>
      <w:r w:rsidRPr="007423CA">
        <w:rPr>
          <w:rFonts w:ascii="Arial" w:eastAsia="Times New Roman" w:hAnsi="Arial" w:cs="Arial"/>
          <w:color w:val="000000"/>
          <w:sz w:val="27"/>
          <w:szCs w:val="27"/>
          <w:lang w:eastAsia="es-CR"/>
        </w:rPr>
        <w:t>Nacira</w:t>
      </w:r>
      <w:proofErr w:type="spellEnd"/>
      <w:r w:rsidRPr="007423CA">
        <w:rPr>
          <w:rFonts w:ascii="Arial" w:eastAsia="Times New Roman" w:hAnsi="Arial" w:cs="Arial"/>
          <w:color w:val="000000"/>
          <w:sz w:val="27"/>
          <w:szCs w:val="27"/>
          <w:lang w:eastAsia="es-CR"/>
        </w:rPr>
        <w:t xml:space="preserve"> Valverde, directora de Planificación, afirmó: “No se pueden acatar (todas las medidas de reducción de gasto del Ejecutivo) porque somos un poder de la República. El poder de la República tiene independencia y necesita analizar su entorno”.</w:t>
      </w:r>
    </w:p>
    <w:p w:rsidR="007423CA" w:rsidRPr="007423CA" w:rsidRDefault="007423CA" w:rsidP="007423CA">
      <w:pPr>
        <w:spacing w:after="0" w:line="240" w:lineRule="auto"/>
        <w:rPr>
          <w:rFonts w:ascii="Arial" w:eastAsia="Times New Roman" w:hAnsi="Arial" w:cs="Arial"/>
          <w:sz w:val="27"/>
          <w:szCs w:val="27"/>
          <w:lang w:eastAsia="es-CR"/>
        </w:rPr>
      </w:pPr>
      <w:r w:rsidRPr="007423CA">
        <w:rPr>
          <w:rFonts w:ascii="Arial" w:eastAsia="Times New Roman" w:hAnsi="Arial" w:cs="Arial"/>
          <w:color w:val="4A4A4A"/>
          <w:sz w:val="36"/>
          <w:lang w:eastAsia="es-CR"/>
        </w:rPr>
        <w:t>Dedicación exclusiva</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En el caso de la dedicación exclusiva, el Ejecutivo redujo a un 10% y un 25% los porcentajes del salario base que se pagarán a nuevos bachilleres y licenciados, por este plus, en vez de un 20% y un 55%.</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No obstante, el Poder Judicial paga más, entre un 20% y un 65% según el grado académico y la clase de puesto profesional.</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Al consultársele si imitará la medida tomada por el Gobierno, la entidad respondió que se rige por su propio Reglamento del Régimen de Dedicación Exclusiva. Añadió que es independiente en esta materia porque también "su propia legislación en cuanto a Ley de Salarios".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La Corte no se ha sumado a esta medida, pero afirma que está revisando este plus internamente.</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Este 2018, la Corte pagó ¢37.500 millones en dedicación exclusiva y prohibición, convirtiéndose en el segundo rubro de mayor tamaño.</w:t>
      </w:r>
    </w:p>
    <w:p w:rsidR="007423CA" w:rsidRPr="007423CA" w:rsidRDefault="007423CA" w:rsidP="007423CA">
      <w:pPr>
        <w:spacing w:after="0" w:line="240" w:lineRule="auto"/>
        <w:rPr>
          <w:rFonts w:ascii="Arial" w:eastAsia="Times New Roman" w:hAnsi="Arial" w:cs="Arial"/>
          <w:sz w:val="27"/>
          <w:szCs w:val="27"/>
          <w:lang w:eastAsia="es-CR"/>
        </w:rPr>
      </w:pPr>
      <w:r w:rsidRPr="007423CA">
        <w:rPr>
          <w:rFonts w:ascii="Arial" w:eastAsia="Times New Roman" w:hAnsi="Arial" w:cs="Arial"/>
          <w:color w:val="4A4A4A"/>
          <w:sz w:val="36"/>
          <w:lang w:eastAsia="es-CR"/>
        </w:rPr>
        <w:t>Anualidades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Dado que su ley de salarios no es específica con respecto al pago de anualidades, la Corte paga este plus de acuerdo a las directrices de la Dirección General del </w:t>
      </w:r>
      <w:r w:rsidRPr="007423CA">
        <w:rPr>
          <w:rFonts w:ascii="Arial" w:eastAsia="Times New Roman" w:hAnsi="Arial" w:cs="Arial"/>
          <w:color w:val="000000"/>
          <w:sz w:val="27"/>
          <w:szCs w:val="27"/>
          <w:highlight w:val="yellow"/>
          <w:lang w:eastAsia="es-CR"/>
        </w:rPr>
        <w:t>Servicio Civil</w:t>
      </w:r>
      <w:r w:rsidRPr="007423CA">
        <w:rPr>
          <w:rFonts w:ascii="Arial" w:eastAsia="Times New Roman" w:hAnsi="Arial" w:cs="Arial"/>
          <w:color w:val="000000"/>
          <w:sz w:val="27"/>
          <w:szCs w:val="27"/>
          <w:lang w:eastAsia="es-CR"/>
        </w:rPr>
        <w:t>.</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lastRenderedPageBreak/>
        <w:t>Por ello, concede a sus empleados entre un 1,94% y un 2,56% del salario base, adicional, por cada año laborado.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Sin embargo, el Gobierno solicitó al </w:t>
      </w:r>
      <w:r w:rsidRPr="007423CA">
        <w:rPr>
          <w:rFonts w:ascii="Arial" w:eastAsia="Times New Roman" w:hAnsi="Arial" w:cs="Arial"/>
          <w:color w:val="000000"/>
          <w:sz w:val="27"/>
          <w:szCs w:val="27"/>
          <w:highlight w:val="yellow"/>
          <w:lang w:eastAsia="es-CR"/>
        </w:rPr>
        <w:t>Servicio Civil</w:t>
      </w:r>
      <w:r w:rsidRPr="007423CA">
        <w:rPr>
          <w:rFonts w:ascii="Arial" w:eastAsia="Times New Roman" w:hAnsi="Arial" w:cs="Arial"/>
          <w:color w:val="000000"/>
          <w:sz w:val="27"/>
          <w:szCs w:val="27"/>
          <w:lang w:eastAsia="es-CR"/>
        </w:rPr>
        <w:t xml:space="preserve"> cambiar de este pago, de manera que ya no sea un porcentaje del salario, sino un monto fijo. La idea es evitar el crecimiento exponencial del gasto en este plus.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Sin embargo, ahora que las reglas están por cambiar, la Corte no está segura de adaptarse al cambio. La decisión queda en manos de la Corte Plena, dijo la entidad.</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highlight w:val="yellow"/>
          <w:lang w:eastAsia="es-CR"/>
        </w:rPr>
        <w:t>Francisco Chang</w:t>
      </w:r>
      <w:r>
        <w:rPr>
          <w:rFonts w:ascii="Arial" w:eastAsia="Times New Roman" w:hAnsi="Arial" w:cs="Arial"/>
          <w:color w:val="000000"/>
          <w:sz w:val="27"/>
          <w:szCs w:val="27"/>
          <w:lang w:eastAsia="es-CR"/>
        </w:rPr>
        <w:t xml:space="preserve">, subdirector general de </w:t>
      </w:r>
      <w:r w:rsidRPr="007423CA">
        <w:rPr>
          <w:rFonts w:ascii="Arial" w:eastAsia="Times New Roman" w:hAnsi="Arial" w:cs="Arial"/>
          <w:color w:val="000000"/>
          <w:sz w:val="27"/>
          <w:szCs w:val="27"/>
          <w:highlight w:val="yellow"/>
          <w:lang w:eastAsia="es-CR"/>
        </w:rPr>
        <w:t>Servicio Civil</w:t>
      </w:r>
      <w:r w:rsidRPr="007423CA">
        <w:rPr>
          <w:rFonts w:ascii="Arial" w:eastAsia="Times New Roman" w:hAnsi="Arial" w:cs="Arial"/>
          <w:color w:val="000000"/>
          <w:sz w:val="27"/>
          <w:szCs w:val="27"/>
          <w:lang w:eastAsia="es-CR"/>
        </w:rPr>
        <w:t>, afirmó que si el Poder Judicial decidiera apelar a su autonomía y no frenar el crecimiento en anualidades, está facultado para hacerlo.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“Las anualidades están contempladas en la Ley de salarios de la administración pública. El tema de si la Corte se separa de los contenidos de la escala de sueldos de esa normativa, es un tema que la Corte analiza desde su facultad jurídico-administrativa. Ellos son los que deciden si lo hacen o no”, </w:t>
      </w:r>
      <w:r w:rsidRPr="007423CA">
        <w:rPr>
          <w:rFonts w:ascii="Arial" w:eastAsia="Times New Roman" w:hAnsi="Arial" w:cs="Arial"/>
          <w:color w:val="000000"/>
          <w:sz w:val="27"/>
          <w:szCs w:val="27"/>
          <w:highlight w:val="yellow"/>
          <w:lang w:eastAsia="es-CR"/>
        </w:rPr>
        <w:t>explicó Chang</w:t>
      </w:r>
      <w:r w:rsidRPr="007423CA">
        <w:rPr>
          <w:rFonts w:ascii="Arial" w:eastAsia="Times New Roman" w:hAnsi="Arial" w:cs="Arial"/>
          <w:color w:val="000000"/>
          <w:sz w:val="27"/>
          <w:szCs w:val="27"/>
          <w:lang w:eastAsia="es-CR"/>
        </w:rPr>
        <w:t>.</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Sin embargo, el funcionario advirtió de que el Poder Judicial reporta salarios mucho más altos en comparación con el resto de funcionarios públicos. “En la Corte ganan como tres veces más”, </w:t>
      </w:r>
      <w:r w:rsidRPr="007423CA">
        <w:rPr>
          <w:rFonts w:ascii="Arial" w:eastAsia="Times New Roman" w:hAnsi="Arial" w:cs="Arial"/>
          <w:color w:val="000000"/>
          <w:sz w:val="27"/>
          <w:szCs w:val="27"/>
          <w:highlight w:val="yellow"/>
          <w:lang w:eastAsia="es-CR"/>
        </w:rPr>
        <w:t>recalcó Chang</w:t>
      </w:r>
      <w:r w:rsidRPr="007423CA">
        <w:rPr>
          <w:rFonts w:ascii="Arial" w:eastAsia="Times New Roman" w:hAnsi="Arial" w:cs="Arial"/>
          <w:color w:val="000000"/>
          <w:sz w:val="27"/>
          <w:szCs w:val="27"/>
          <w:lang w:eastAsia="es-CR"/>
        </w:rPr>
        <w:t>.</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Las anualidades son uno de los incentivos que más recursos demandan al Estado. Este 2018, el gasto de la Corte en este rubro es de ¢36.200 millones.</w:t>
      </w:r>
    </w:p>
    <w:p w:rsidR="007423CA" w:rsidRPr="007423CA" w:rsidRDefault="007423CA" w:rsidP="007423CA">
      <w:pPr>
        <w:spacing w:after="0" w:line="240" w:lineRule="auto"/>
        <w:rPr>
          <w:rFonts w:ascii="Arial" w:eastAsia="Times New Roman" w:hAnsi="Arial" w:cs="Arial"/>
          <w:sz w:val="27"/>
          <w:szCs w:val="27"/>
          <w:lang w:eastAsia="es-CR"/>
        </w:rPr>
      </w:pPr>
      <w:r w:rsidRPr="007423CA">
        <w:rPr>
          <w:rFonts w:ascii="Arial" w:eastAsia="Times New Roman" w:hAnsi="Arial" w:cs="Arial"/>
          <w:color w:val="4A4A4A"/>
          <w:sz w:val="36"/>
          <w:lang w:eastAsia="es-CR"/>
        </w:rPr>
        <w:t xml:space="preserve"> ‘Otros incentivos’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El mayor gasto en pluses del Poder Judicial lo constituyen los “otros incentivos”, que son 21 beneficios específicos para los funcionarios </w:t>
      </w:r>
      <w:r w:rsidRPr="007423CA">
        <w:rPr>
          <w:rFonts w:ascii="Arial" w:eastAsia="Times New Roman" w:hAnsi="Arial" w:cs="Arial"/>
          <w:color w:val="000000"/>
          <w:sz w:val="27"/>
          <w:szCs w:val="27"/>
          <w:lang w:eastAsia="es-CR"/>
        </w:rPr>
        <w:lastRenderedPageBreak/>
        <w:t>judiciales y que cuestan casi ¢60.000 millones anuales. Estos no fueron tocados, se mantienen intactos.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Estos pluses podrían modificarse en cualquier momento, pues no tienen rango de ley, sino que fueron creados por la cúpula.</w:t>
      </w:r>
    </w:p>
    <w:p w:rsidR="007423CA" w:rsidRPr="007423CA" w:rsidRDefault="003240BE" w:rsidP="007423CA">
      <w:pPr>
        <w:spacing w:after="75" w:line="240" w:lineRule="auto"/>
        <w:rPr>
          <w:rFonts w:ascii="Arial" w:eastAsia="Times New Roman" w:hAnsi="Arial" w:cs="Arial"/>
          <w:sz w:val="27"/>
          <w:szCs w:val="27"/>
          <w:lang w:eastAsia="es-CR"/>
        </w:rPr>
      </w:pPr>
      <w:r w:rsidRPr="003240BE">
        <w:rPr>
          <w:rFonts w:ascii="Arial" w:eastAsia="Times New Roman" w:hAnsi="Arial" w:cs="Arial"/>
          <w:sz w:val="27"/>
          <w:szCs w:val="27"/>
          <w:lang w:eastAsia="es-C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GRWXEAUDFG4XOG332ILRO5JGI" o:spid="_x0000_i1025" type="#_x0000_t75" alt="" style="width:600pt;height:600pt"/>
        </w:pic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 xml:space="preserve">Desde agosto del 2017, la Corte Plena ordenó a las direcciones Jurídica y de Gestión Humana estudiar posibles ajustes en los porcentajes y </w:t>
      </w:r>
      <w:r w:rsidRPr="007423CA">
        <w:rPr>
          <w:rFonts w:ascii="Arial" w:eastAsia="Times New Roman" w:hAnsi="Arial" w:cs="Arial"/>
          <w:color w:val="000000"/>
          <w:sz w:val="27"/>
          <w:szCs w:val="27"/>
          <w:lang w:eastAsia="es-CR"/>
        </w:rPr>
        <w:lastRenderedPageBreak/>
        <w:t xml:space="preserve">montos que se paga a los empleados por incentivos como </w:t>
      </w:r>
      <w:proofErr w:type="spellStart"/>
      <w:r w:rsidRPr="007423CA">
        <w:rPr>
          <w:rFonts w:ascii="Arial" w:eastAsia="Times New Roman" w:hAnsi="Arial" w:cs="Arial"/>
          <w:color w:val="000000"/>
          <w:sz w:val="27"/>
          <w:szCs w:val="27"/>
          <w:lang w:eastAsia="es-CR"/>
        </w:rPr>
        <w:t>zonaje</w:t>
      </w:r>
      <w:proofErr w:type="spellEnd"/>
      <w:r w:rsidRPr="007423CA">
        <w:rPr>
          <w:rFonts w:ascii="Arial" w:eastAsia="Times New Roman" w:hAnsi="Arial" w:cs="Arial"/>
          <w:color w:val="000000"/>
          <w:sz w:val="27"/>
          <w:szCs w:val="27"/>
          <w:lang w:eastAsia="es-CR"/>
        </w:rPr>
        <w:t>, dedicación exclusiva, disponibilidad, reajustes salariales por horas extras, ascensos, vacaciones profilácticas y otros.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“Estamos en un proceso de revisión de toda la normativa para que se tomen medidas de ajuste en esa línea (de restricción del gasto que plantea el Gobierno)”, afirmó Romero.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Por su parte, la directora de Planificación, insistió en que no es posible adelantar criterios de qué pasará. “Es un análisis que, conscientemente, se pidió desde el año pasado, adelantándose a las medidas de contención del gasto que ya sabíamos que se requerían”, aseveró Valverde.</w:t>
      </w:r>
    </w:p>
    <w:p w:rsidR="007423CA" w:rsidRPr="007423CA" w:rsidRDefault="007423CA" w:rsidP="007423CA">
      <w:pPr>
        <w:spacing w:after="0" w:line="240" w:lineRule="auto"/>
        <w:rPr>
          <w:rFonts w:ascii="Arial" w:eastAsia="Times New Roman" w:hAnsi="Arial" w:cs="Arial"/>
          <w:sz w:val="27"/>
          <w:szCs w:val="27"/>
          <w:lang w:eastAsia="es-CR"/>
        </w:rPr>
      </w:pPr>
      <w:r w:rsidRPr="007423CA">
        <w:rPr>
          <w:rFonts w:ascii="Arial" w:eastAsia="Times New Roman" w:hAnsi="Arial" w:cs="Arial"/>
          <w:color w:val="4A4A4A"/>
          <w:sz w:val="36"/>
          <w:lang w:eastAsia="es-CR"/>
        </w:rPr>
        <w:t>Ajuste salarial</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La única medida del Gobierno que la Corte imitará, por ahora, es el aumento salarial de ¢3.750 por semestre para todos los empleados.</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Desde el 2005, la institución venía aplicando el mismo incremento salarial por costo de vida que daba el Gobierno a los funcionarios públicos, el cual se regía como un porcentaje y no como un monto fijo.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Sin embargo, una reciente directriz del Ejecutivo ordenó pasar el aumento a ¢3.750 para todos los empleados, medida que será acatada por la Corte.</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“El mensaje del presidente de la Corte (Carlos Chinchilla) es de que nos vamos a sumar (a las medidas de restricción del gasto). No se trata de entrar en un conflicto de que tenemos la obligación, porque hay un tema de independencia, sino de que nos vamos a sumar”, argumentó Romero.</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lastRenderedPageBreak/>
        <w:t>El nuevo aumento salarial regirá para todos los colaboradores, a excepción de la clase gerencial, un grupo de 46 personas que ostenta los sueldos más elevados en el Poder Judicial. A estos últimos no se les hará incremento para cumplir con la petición gubernamental de no subir los salarios a los altos jerarcas, aseguró la directora ejecutiva.</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Consultada sobre las medidas de restricción del gasto tomadas por el Poder Judicial, la ministra de Hacienda, Rocío Aguilar, afirmó que se trata de “un esfuerzo importante”</w:t>
      </w:r>
    </w:p>
    <w:p w:rsidR="007423CA" w:rsidRPr="007423CA" w:rsidRDefault="007423CA" w:rsidP="007423CA">
      <w:pPr>
        <w:spacing w:after="450" w:line="390" w:lineRule="atLeast"/>
        <w:rPr>
          <w:rFonts w:ascii="Arial" w:eastAsia="Times New Roman" w:hAnsi="Arial" w:cs="Arial"/>
          <w:color w:val="000000"/>
          <w:sz w:val="27"/>
          <w:szCs w:val="27"/>
          <w:lang w:eastAsia="es-CR"/>
        </w:rPr>
      </w:pPr>
      <w:r w:rsidRPr="007423CA">
        <w:rPr>
          <w:rFonts w:ascii="Arial" w:eastAsia="Times New Roman" w:hAnsi="Arial" w:cs="Arial"/>
          <w:color w:val="000000"/>
          <w:sz w:val="27"/>
          <w:szCs w:val="27"/>
          <w:lang w:eastAsia="es-CR"/>
        </w:rPr>
        <w:t>“Yo no quisiera que se vea como que se limita (la Corte) a hacer el ajuste salarial. Realmente, es un esfuerzo importante que yo creo que vale la pena reconocerle. No es tan sencillo mantener un presupuesto en los mismos términos que el año anterior, sobre todo cuando hay disparadores automáticos en algunos elementos de gasto”, comentó la Ministra.</w:t>
      </w:r>
    </w:p>
    <w:p w:rsidR="007423CA" w:rsidRPr="007423CA" w:rsidRDefault="003240BE" w:rsidP="007423CA">
      <w:pPr>
        <w:spacing w:after="0" w:line="270" w:lineRule="atLeast"/>
        <w:rPr>
          <w:rFonts w:ascii="Arial" w:eastAsia="Times New Roman" w:hAnsi="Arial" w:cs="Arial"/>
          <w:b/>
          <w:bCs/>
          <w:color w:val="003C6F"/>
          <w:sz w:val="27"/>
          <w:szCs w:val="27"/>
          <w:lang w:eastAsia="es-CR"/>
        </w:rPr>
      </w:pPr>
      <w:r w:rsidRPr="003240BE">
        <w:rPr>
          <w:rFonts w:ascii="Arial" w:eastAsia="Times New Roman" w:hAnsi="Arial" w:cs="Arial"/>
          <w:b/>
          <w:bCs/>
          <w:color w:val="003C6F"/>
          <w:sz w:val="27"/>
          <w:szCs w:val="27"/>
          <w:lang w:eastAsia="es-CR"/>
        </w:rPr>
        <w:pict>
          <v:shape id="_x0000_i1026" type="#_x0000_t75" alt="" style="width:24pt;height:24pt"/>
        </w:pict>
      </w:r>
    </w:p>
    <w:p w:rsidR="007423CA" w:rsidRDefault="003240BE">
      <w:hyperlink r:id="rId5" w:history="1">
        <w:r w:rsidR="00FC1472" w:rsidRPr="003E6698">
          <w:rPr>
            <w:rStyle w:val="Hipervnculo"/>
          </w:rPr>
          <w:t>https://www.nacion.com/el-pais/politica/imito-la-corte-las-medidas-de-ahorro-que-el/HB3JPRVZS5AZDGVZHPI2J27SMY/story/</w:t>
        </w:r>
      </w:hyperlink>
    </w:p>
    <w:p w:rsidR="00FC1472" w:rsidRDefault="00FC1472"/>
    <w:p w:rsidR="00FC1472" w:rsidRDefault="00FC1472"/>
    <w:sectPr w:rsidR="00FC1472" w:rsidSect="000E01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3CA"/>
    <w:rsid w:val="000E0175"/>
    <w:rsid w:val="002738C1"/>
    <w:rsid w:val="003240BE"/>
    <w:rsid w:val="005C2CE1"/>
    <w:rsid w:val="007423CA"/>
    <w:rsid w:val="007F20B4"/>
    <w:rsid w:val="008C0B8A"/>
    <w:rsid w:val="00FC147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75"/>
  </w:style>
  <w:style w:type="paragraph" w:styleId="Ttulo3">
    <w:name w:val="heading 3"/>
    <w:basedOn w:val="Normal"/>
    <w:link w:val="Ttulo3Car"/>
    <w:uiPriority w:val="9"/>
    <w:qFormat/>
    <w:rsid w:val="007423CA"/>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23CA"/>
    <w:rPr>
      <w:rFonts w:ascii="Times New Roman" w:eastAsia="Times New Roman" w:hAnsi="Times New Roman" w:cs="Times New Roman"/>
      <w:b/>
      <w:bCs/>
      <w:sz w:val="27"/>
      <w:szCs w:val="27"/>
      <w:lang w:eastAsia="es-CR"/>
    </w:rPr>
  </w:style>
  <w:style w:type="character" w:customStyle="1" w:styleId="author">
    <w:name w:val="author"/>
    <w:basedOn w:val="Fuentedeprrafopredeter"/>
    <w:rsid w:val="007423CA"/>
  </w:style>
  <w:style w:type="character" w:styleId="Hipervnculo">
    <w:name w:val="Hyperlink"/>
    <w:basedOn w:val="Fuentedeprrafopredeter"/>
    <w:uiPriority w:val="99"/>
    <w:unhideWhenUsed/>
    <w:rsid w:val="007423CA"/>
    <w:rPr>
      <w:color w:val="0000FF"/>
      <w:u w:val="single"/>
    </w:rPr>
  </w:style>
  <w:style w:type="character" w:customStyle="1" w:styleId="credit">
    <w:name w:val="credit"/>
    <w:basedOn w:val="Fuentedeprrafopredeter"/>
    <w:rsid w:val="007423CA"/>
  </w:style>
  <w:style w:type="paragraph" w:customStyle="1" w:styleId="element">
    <w:name w:val="element"/>
    <w:basedOn w:val="Normal"/>
    <w:rsid w:val="007423CA"/>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7423C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element1">
    <w:name w:val="element1"/>
    <w:basedOn w:val="Fuentedeprrafopredeter"/>
    <w:rsid w:val="007423CA"/>
  </w:style>
  <w:style w:type="paragraph" w:styleId="Textodeglobo">
    <w:name w:val="Balloon Text"/>
    <w:basedOn w:val="Normal"/>
    <w:link w:val="TextodegloboCar"/>
    <w:uiPriority w:val="99"/>
    <w:semiHidden/>
    <w:unhideWhenUsed/>
    <w:rsid w:val="007423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135531">
      <w:bodyDiv w:val="1"/>
      <w:marLeft w:val="0"/>
      <w:marRight w:val="0"/>
      <w:marTop w:val="0"/>
      <w:marBottom w:val="0"/>
      <w:divBdr>
        <w:top w:val="none" w:sz="0" w:space="0" w:color="auto"/>
        <w:left w:val="none" w:sz="0" w:space="0" w:color="auto"/>
        <w:bottom w:val="none" w:sz="0" w:space="0" w:color="auto"/>
        <w:right w:val="none" w:sz="0" w:space="0" w:color="auto"/>
      </w:divBdr>
      <w:divsChild>
        <w:div w:id="428892664">
          <w:marLeft w:val="0"/>
          <w:marRight w:val="0"/>
          <w:marTop w:val="0"/>
          <w:marBottom w:val="0"/>
          <w:divBdr>
            <w:top w:val="none" w:sz="0" w:space="0" w:color="auto"/>
            <w:left w:val="none" w:sz="0" w:space="0" w:color="auto"/>
            <w:bottom w:val="none" w:sz="0" w:space="0" w:color="auto"/>
            <w:right w:val="none" w:sz="0" w:space="0" w:color="auto"/>
          </w:divBdr>
          <w:divsChild>
            <w:div w:id="1484466807">
              <w:marLeft w:val="0"/>
              <w:marRight w:val="0"/>
              <w:marTop w:val="0"/>
              <w:marBottom w:val="0"/>
              <w:divBdr>
                <w:top w:val="none" w:sz="0" w:space="0" w:color="auto"/>
                <w:left w:val="none" w:sz="0" w:space="0" w:color="auto"/>
                <w:bottom w:val="none" w:sz="0" w:space="0" w:color="auto"/>
                <w:right w:val="none" w:sz="0" w:space="0" w:color="auto"/>
              </w:divBdr>
              <w:divsChild>
                <w:div w:id="1516462299">
                  <w:marLeft w:val="0"/>
                  <w:marRight w:val="0"/>
                  <w:marTop w:val="0"/>
                  <w:marBottom w:val="300"/>
                  <w:divBdr>
                    <w:top w:val="none" w:sz="0" w:space="0" w:color="auto"/>
                    <w:left w:val="none" w:sz="0" w:space="0" w:color="auto"/>
                    <w:bottom w:val="none" w:sz="0" w:space="0" w:color="auto"/>
                    <w:right w:val="none" w:sz="0" w:space="0" w:color="auto"/>
                  </w:divBdr>
                  <w:divsChild>
                    <w:div w:id="452941580">
                      <w:marLeft w:val="0"/>
                      <w:marRight w:val="0"/>
                      <w:marTop w:val="0"/>
                      <w:marBottom w:val="0"/>
                      <w:divBdr>
                        <w:top w:val="none" w:sz="0" w:space="0" w:color="auto"/>
                        <w:left w:val="none" w:sz="0" w:space="0" w:color="auto"/>
                        <w:bottom w:val="none" w:sz="0" w:space="0" w:color="auto"/>
                        <w:right w:val="none" w:sz="0" w:space="0" w:color="auto"/>
                      </w:divBdr>
                      <w:divsChild>
                        <w:div w:id="1880970977">
                          <w:marLeft w:val="-225"/>
                          <w:marRight w:val="-225"/>
                          <w:marTop w:val="0"/>
                          <w:marBottom w:val="0"/>
                          <w:divBdr>
                            <w:top w:val="none" w:sz="0" w:space="0" w:color="auto"/>
                            <w:left w:val="none" w:sz="0" w:space="0" w:color="auto"/>
                            <w:bottom w:val="none" w:sz="0" w:space="0" w:color="auto"/>
                            <w:right w:val="none" w:sz="0" w:space="0" w:color="auto"/>
                          </w:divBdr>
                          <w:divsChild>
                            <w:div w:id="1912496301">
                              <w:marLeft w:val="0"/>
                              <w:marRight w:val="0"/>
                              <w:marTop w:val="0"/>
                              <w:marBottom w:val="75"/>
                              <w:divBdr>
                                <w:top w:val="none" w:sz="0" w:space="0" w:color="auto"/>
                                <w:left w:val="none" w:sz="0" w:space="0" w:color="auto"/>
                                <w:bottom w:val="none" w:sz="0" w:space="0" w:color="auto"/>
                                <w:right w:val="none" w:sz="0" w:space="0" w:color="auto"/>
                              </w:divBdr>
                              <w:divsChild>
                                <w:div w:id="660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1966">
                          <w:marLeft w:val="-225"/>
                          <w:marRight w:val="-225"/>
                          <w:marTop w:val="0"/>
                          <w:marBottom w:val="0"/>
                          <w:divBdr>
                            <w:top w:val="none" w:sz="0" w:space="0" w:color="auto"/>
                            <w:left w:val="none" w:sz="0" w:space="0" w:color="auto"/>
                            <w:bottom w:val="none" w:sz="0" w:space="0" w:color="auto"/>
                            <w:right w:val="none" w:sz="0" w:space="0" w:color="auto"/>
                          </w:divBdr>
                          <w:divsChild>
                            <w:div w:id="305475194">
                              <w:marLeft w:val="0"/>
                              <w:marRight w:val="0"/>
                              <w:marTop w:val="0"/>
                              <w:marBottom w:val="0"/>
                              <w:divBdr>
                                <w:top w:val="none" w:sz="0" w:space="0" w:color="auto"/>
                                <w:left w:val="none" w:sz="0" w:space="0" w:color="auto"/>
                                <w:bottom w:val="none" w:sz="0" w:space="0" w:color="auto"/>
                                <w:right w:val="none" w:sz="0" w:space="0" w:color="auto"/>
                              </w:divBdr>
                            </w:div>
                          </w:divsChild>
                        </w:div>
                        <w:div w:id="839778348">
                          <w:marLeft w:val="-225"/>
                          <w:marRight w:val="-225"/>
                          <w:marTop w:val="0"/>
                          <w:marBottom w:val="0"/>
                          <w:divBdr>
                            <w:top w:val="none" w:sz="0" w:space="0" w:color="auto"/>
                            <w:left w:val="none" w:sz="0" w:space="0" w:color="auto"/>
                            <w:bottom w:val="none" w:sz="0" w:space="0" w:color="auto"/>
                            <w:right w:val="none" w:sz="0" w:space="0" w:color="auto"/>
                          </w:divBdr>
                          <w:divsChild>
                            <w:div w:id="1671130471">
                              <w:marLeft w:val="0"/>
                              <w:marRight w:val="0"/>
                              <w:marTop w:val="0"/>
                              <w:marBottom w:val="0"/>
                              <w:divBdr>
                                <w:top w:val="none" w:sz="0" w:space="0" w:color="auto"/>
                                <w:left w:val="none" w:sz="0" w:space="0" w:color="auto"/>
                                <w:bottom w:val="none" w:sz="0" w:space="0" w:color="auto"/>
                                <w:right w:val="none" w:sz="0" w:space="0" w:color="auto"/>
                              </w:divBdr>
                            </w:div>
                          </w:divsChild>
                        </w:div>
                        <w:div w:id="1807702611">
                          <w:marLeft w:val="-225"/>
                          <w:marRight w:val="-225"/>
                          <w:marTop w:val="0"/>
                          <w:marBottom w:val="0"/>
                          <w:divBdr>
                            <w:top w:val="none" w:sz="0" w:space="0" w:color="auto"/>
                            <w:left w:val="none" w:sz="0" w:space="0" w:color="auto"/>
                            <w:bottom w:val="none" w:sz="0" w:space="0" w:color="auto"/>
                            <w:right w:val="none" w:sz="0" w:space="0" w:color="auto"/>
                          </w:divBdr>
                          <w:divsChild>
                            <w:div w:id="512185983">
                              <w:marLeft w:val="0"/>
                              <w:marRight w:val="0"/>
                              <w:marTop w:val="0"/>
                              <w:marBottom w:val="0"/>
                              <w:divBdr>
                                <w:top w:val="none" w:sz="0" w:space="0" w:color="auto"/>
                                <w:left w:val="none" w:sz="0" w:space="0" w:color="auto"/>
                                <w:bottom w:val="none" w:sz="0" w:space="0" w:color="auto"/>
                                <w:right w:val="none" w:sz="0" w:space="0" w:color="auto"/>
                              </w:divBdr>
                            </w:div>
                          </w:divsChild>
                        </w:div>
                        <w:div w:id="1521119142">
                          <w:marLeft w:val="-225"/>
                          <w:marRight w:val="-225"/>
                          <w:marTop w:val="0"/>
                          <w:marBottom w:val="0"/>
                          <w:divBdr>
                            <w:top w:val="none" w:sz="0" w:space="0" w:color="auto"/>
                            <w:left w:val="none" w:sz="0" w:space="0" w:color="auto"/>
                            <w:bottom w:val="none" w:sz="0" w:space="0" w:color="auto"/>
                            <w:right w:val="none" w:sz="0" w:space="0" w:color="auto"/>
                          </w:divBdr>
                          <w:divsChild>
                            <w:div w:id="1318388101">
                              <w:marLeft w:val="0"/>
                              <w:marRight w:val="0"/>
                              <w:marTop w:val="0"/>
                              <w:marBottom w:val="0"/>
                              <w:divBdr>
                                <w:top w:val="none" w:sz="0" w:space="0" w:color="auto"/>
                                <w:left w:val="none" w:sz="0" w:space="0" w:color="auto"/>
                                <w:bottom w:val="none" w:sz="0" w:space="0" w:color="auto"/>
                                <w:right w:val="none" w:sz="0" w:space="0" w:color="auto"/>
                              </w:divBdr>
                            </w:div>
                          </w:divsChild>
                        </w:div>
                        <w:div w:id="712971480">
                          <w:marLeft w:val="-225"/>
                          <w:marRight w:val="-225"/>
                          <w:marTop w:val="0"/>
                          <w:marBottom w:val="0"/>
                          <w:divBdr>
                            <w:top w:val="none" w:sz="0" w:space="0" w:color="auto"/>
                            <w:left w:val="none" w:sz="0" w:space="0" w:color="auto"/>
                            <w:bottom w:val="none" w:sz="0" w:space="0" w:color="auto"/>
                            <w:right w:val="none" w:sz="0" w:space="0" w:color="auto"/>
                          </w:divBdr>
                          <w:divsChild>
                            <w:div w:id="1544556239">
                              <w:marLeft w:val="0"/>
                              <w:marRight w:val="0"/>
                              <w:marTop w:val="0"/>
                              <w:marBottom w:val="0"/>
                              <w:divBdr>
                                <w:top w:val="none" w:sz="0" w:space="0" w:color="auto"/>
                                <w:left w:val="none" w:sz="0" w:space="0" w:color="auto"/>
                                <w:bottom w:val="none" w:sz="0" w:space="0" w:color="auto"/>
                                <w:right w:val="none" w:sz="0" w:space="0" w:color="auto"/>
                              </w:divBdr>
                            </w:div>
                          </w:divsChild>
                        </w:div>
                        <w:div w:id="491718666">
                          <w:marLeft w:val="-225"/>
                          <w:marRight w:val="-225"/>
                          <w:marTop w:val="0"/>
                          <w:marBottom w:val="0"/>
                          <w:divBdr>
                            <w:top w:val="none" w:sz="0" w:space="0" w:color="auto"/>
                            <w:left w:val="none" w:sz="0" w:space="0" w:color="auto"/>
                            <w:bottom w:val="none" w:sz="0" w:space="0" w:color="auto"/>
                            <w:right w:val="none" w:sz="0" w:space="0" w:color="auto"/>
                          </w:divBdr>
                          <w:divsChild>
                            <w:div w:id="783500824">
                              <w:marLeft w:val="0"/>
                              <w:marRight w:val="0"/>
                              <w:marTop w:val="0"/>
                              <w:marBottom w:val="0"/>
                              <w:divBdr>
                                <w:top w:val="none" w:sz="0" w:space="0" w:color="auto"/>
                                <w:left w:val="none" w:sz="0" w:space="0" w:color="auto"/>
                                <w:bottom w:val="none" w:sz="0" w:space="0" w:color="auto"/>
                                <w:right w:val="none" w:sz="0" w:space="0" w:color="auto"/>
                              </w:divBdr>
                            </w:div>
                          </w:divsChild>
                        </w:div>
                        <w:div w:id="952399344">
                          <w:marLeft w:val="-225"/>
                          <w:marRight w:val="-225"/>
                          <w:marTop w:val="0"/>
                          <w:marBottom w:val="0"/>
                          <w:divBdr>
                            <w:top w:val="none" w:sz="0" w:space="0" w:color="auto"/>
                            <w:left w:val="none" w:sz="0" w:space="0" w:color="auto"/>
                            <w:bottom w:val="none" w:sz="0" w:space="0" w:color="auto"/>
                            <w:right w:val="none" w:sz="0" w:space="0" w:color="auto"/>
                          </w:divBdr>
                          <w:divsChild>
                            <w:div w:id="1694767547">
                              <w:marLeft w:val="0"/>
                              <w:marRight w:val="0"/>
                              <w:marTop w:val="0"/>
                              <w:marBottom w:val="0"/>
                              <w:divBdr>
                                <w:top w:val="none" w:sz="0" w:space="0" w:color="auto"/>
                                <w:left w:val="none" w:sz="0" w:space="0" w:color="auto"/>
                                <w:bottom w:val="none" w:sz="0" w:space="0" w:color="auto"/>
                                <w:right w:val="none" w:sz="0" w:space="0" w:color="auto"/>
                              </w:divBdr>
                            </w:div>
                          </w:divsChild>
                        </w:div>
                        <w:div w:id="305356275">
                          <w:marLeft w:val="-225"/>
                          <w:marRight w:val="-225"/>
                          <w:marTop w:val="0"/>
                          <w:marBottom w:val="0"/>
                          <w:divBdr>
                            <w:top w:val="none" w:sz="0" w:space="0" w:color="auto"/>
                            <w:left w:val="none" w:sz="0" w:space="0" w:color="auto"/>
                            <w:bottom w:val="none" w:sz="0" w:space="0" w:color="auto"/>
                            <w:right w:val="none" w:sz="0" w:space="0" w:color="auto"/>
                          </w:divBdr>
                          <w:divsChild>
                            <w:div w:id="788476845">
                              <w:marLeft w:val="0"/>
                              <w:marRight w:val="0"/>
                              <w:marTop w:val="0"/>
                              <w:marBottom w:val="0"/>
                              <w:divBdr>
                                <w:top w:val="none" w:sz="0" w:space="0" w:color="auto"/>
                                <w:left w:val="none" w:sz="0" w:space="0" w:color="auto"/>
                                <w:bottom w:val="none" w:sz="0" w:space="0" w:color="auto"/>
                                <w:right w:val="none" w:sz="0" w:space="0" w:color="auto"/>
                              </w:divBdr>
                            </w:div>
                          </w:divsChild>
                        </w:div>
                        <w:div w:id="1754206930">
                          <w:marLeft w:val="-225"/>
                          <w:marRight w:val="-225"/>
                          <w:marTop w:val="0"/>
                          <w:marBottom w:val="0"/>
                          <w:divBdr>
                            <w:top w:val="none" w:sz="0" w:space="0" w:color="auto"/>
                            <w:left w:val="none" w:sz="0" w:space="0" w:color="auto"/>
                            <w:bottom w:val="none" w:sz="0" w:space="0" w:color="auto"/>
                            <w:right w:val="none" w:sz="0" w:space="0" w:color="auto"/>
                          </w:divBdr>
                          <w:divsChild>
                            <w:div w:id="1542744094">
                              <w:marLeft w:val="0"/>
                              <w:marRight w:val="0"/>
                              <w:marTop w:val="0"/>
                              <w:marBottom w:val="0"/>
                              <w:divBdr>
                                <w:top w:val="none" w:sz="0" w:space="0" w:color="auto"/>
                                <w:left w:val="none" w:sz="0" w:space="0" w:color="auto"/>
                                <w:bottom w:val="none" w:sz="0" w:space="0" w:color="auto"/>
                                <w:right w:val="none" w:sz="0" w:space="0" w:color="auto"/>
                              </w:divBdr>
                            </w:div>
                          </w:divsChild>
                        </w:div>
                        <w:div w:id="1425767316">
                          <w:marLeft w:val="-225"/>
                          <w:marRight w:val="-225"/>
                          <w:marTop w:val="0"/>
                          <w:marBottom w:val="0"/>
                          <w:divBdr>
                            <w:top w:val="none" w:sz="0" w:space="0" w:color="auto"/>
                            <w:left w:val="none" w:sz="0" w:space="0" w:color="auto"/>
                            <w:bottom w:val="none" w:sz="0" w:space="0" w:color="auto"/>
                            <w:right w:val="none" w:sz="0" w:space="0" w:color="auto"/>
                          </w:divBdr>
                          <w:divsChild>
                            <w:div w:id="423035459">
                              <w:marLeft w:val="0"/>
                              <w:marRight w:val="0"/>
                              <w:marTop w:val="0"/>
                              <w:marBottom w:val="0"/>
                              <w:divBdr>
                                <w:top w:val="none" w:sz="0" w:space="0" w:color="auto"/>
                                <w:left w:val="none" w:sz="0" w:space="0" w:color="auto"/>
                                <w:bottom w:val="none" w:sz="0" w:space="0" w:color="auto"/>
                                <w:right w:val="none" w:sz="0" w:space="0" w:color="auto"/>
                              </w:divBdr>
                            </w:div>
                          </w:divsChild>
                        </w:div>
                        <w:div w:id="1939943184">
                          <w:marLeft w:val="-225"/>
                          <w:marRight w:val="-225"/>
                          <w:marTop w:val="0"/>
                          <w:marBottom w:val="0"/>
                          <w:divBdr>
                            <w:top w:val="none" w:sz="0" w:space="0" w:color="auto"/>
                            <w:left w:val="none" w:sz="0" w:space="0" w:color="auto"/>
                            <w:bottom w:val="none" w:sz="0" w:space="0" w:color="auto"/>
                            <w:right w:val="none" w:sz="0" w:space="0" w:color="auto"/>
                          </w:divBdr>
                          <w:divsChild>
                            <w:div w:id="290945659">
                              <w:marLeft w:val="0"/>
                              <w:marRight w:val="0"/>
                              <w:marTop w:val="0"/>
                              <w:marBottom w:val="0"/>
                              <w:divBdr>
                                <w:top w:val="none" w:sz="0" w:space="0" w:color="auto"/>
                                <w:left w:val="none" w:sz="0" w:space="0" w:color="auto"/>
                                <w:bottom w:val="none" w:sz="0" w:space="0" w:color="auto"/>
                                <w:right w:val="none" w:sz="0" w:space="0" w:color="auto"/>
                              </w:divBdr>
                            </w:div>
                          </w:divsChild>
                        </w:div>
                        <w:div w:id="755829827">
                          <w:marLeft w:val="-225"/>
                          <w:marRight w:val="-225"/>
                          <w:marTop w:val="0"/>
                          <w:marBottom w:val="0"/>
                          <w:divBdr>
                            <w:top w:val="none" w:sz="0" w:space="0" w:color="auto"/>
                            <w:left w:val="none" w:sz="0" w:space="0" w:color="auto"/>
                            <w:bottom w:val="none" w:sz="0" w:space="0" w:color="auto"/>
                            <w:right w:val="none" w:sz="0" w:space="0" w:color="auto"/>
                          </w:divBdr>
                          <w:divsChild>
                            <w:div w:id="540437529">
                              <w:marLeft w:val="0"/>
                              <w:marRight w:val="0"/>
                              <w:marTop w:val="0"/>
                              <w:marBottom w:val="0"/>
                              <w:divBdr>
                                <w:top w:val="none" w:sz="0" w:space="0" w:color="auto"/>
                                <w:left w:val="none" w:sz="0" w:space="0" w:color="auto"/>
                                <w:bottom w:val="none" w:sz="0" w:space="0" w:color="auto"/>
                                <w:right w:val="none" w:sz="0" w:space="0" w:color="auto"/>
                              </w:divBdr>
                            </w:div>
                          </w:divsChild>
                        </w:div>
                        <w:div w:id="1209608934">
                          <w:marLeft w:val="-225"/>
                          <w:marRight w:val="-225"/>
                          <w:marTop w:val="0"/>
                          <w:marBottom w:val="0"/>
                          <w:divBdr>
                            <w:top w:val="none" w:sz="0" w:space="0" w:color="auto"/>
                            <w:left w:val="none" w:sz="0" w:space="0" w:color="auto"/>
                            <w:bottom w:val="none" w:sz="0" w:space="0" w:color="auto"/>
                            <w:right w:val="none" w:sz="0" w:space="0" w:color="auto"/>
                          </w:divBdr>
                          <w:divsChild>
                            <w:div w:id="1695813328">
                              <w:marLeft w:val="0"/>
                              <w:marRight w:val="0"/>
                              <w:marTop w:val="0"/>
                              <w:marBottom w:val="0"/>
                              <w:divBdr>
                                <w:top w:val="none" w:sz="0" w:space="0" w:color="auto"/>
                                <w:left w:val="none" w:sz="0" w:space="0" w:color="auto"/>
                                <w:bottom w:val="none" w:sz="0" w:space="0" w:color="auto"/>
                                <w:right w:val="none" w:sz="0" w:space="0" w:color="auto"/>
                              </w:divBdr>
                            </w:div>
                          </w:divsChild>
                        </w:div>
                        <w:div w:id="1243249586">
                          <w:marLeft w:val="-225"/>
                          <w:marRight w:val="-225"/>
                          <w:marTop w:val="0"/>
                          <w:marBottom w:val="0"/>
                          <w:divBdr>
                            <w:top w:val="none" w:sz="0" w:space="0" w:color="auto"/>
                            <w:left w:val="none" w:sz="0" w:space="0" w:color="auto"/>
                            <w:bottom w:val="none" w:sz="0" w:space="0" w:color="auto"/>
                            <w:right w:val="none" w:sz="0" w:space="0" w:color="auto"/>
                          </w:divBdr>
                          <w:divsChild>
                            <w:div w:id="1632516716">
                              <w:marLeft w:val="0"/>
                              <w:marRight w:val="0"/>
                              <w:marTop w:val="0"/>
                              <w:marBottom w:val="0"/>
                              <w:divBdr>
                                <w:top w:val="none" w:sz="0" w:space="0" w:color="auto"/>
                                <w:left w:val="none" w:sz="0" w:space="0" w:color="auto"/>
                                <w:bottom w:val="none" w:sz="0" w:space="0" w:color="auto"/>
                                <w:right w:val="none" w:sz="0" w:space="0" w:color="auto"/>
                              </w:divBdr>
                            </w:div>
                          </w:divsChild>
                        </w:div>
                        <w:div w:id="2088841116">
                          <w:marLeft w:val="-225"/>
                          <w:marRight w:val="-225"/>
                          <w:marTop w:val="0"/>
                          <w:marBottom w:val="0"/>
                          <w:divBdr>
                            <w:top w:val="none" w:sz="0" w:space="0" w:color="auto"/>
                            <w:left w:val="none" w:sz="0" w:space="0" w:color="auto"/>
                            <w:bottom w:val="none" w:sz="0" w:space="0" w:color="auto"/>
                            <w:right w:val="none" w:sz="0" w:space="0" w:color="auto"/>
                          </w:divBdr>
                          <w:divsChild>
                            <w:div w:id="2063940278">
                              <w:marLeft w:val="0"/>
                              <w:marRight w:val="0"/>
                              <w:marTop w:val="0"/>
                              <w:marBottom w:val="0"/>
                              <w:divBdr>
                                <w:top w:val="none" w:sz="0" w:space="0" w:color="auto"/>
                                <w:left w:val="none" w:sz="0" w:space="0" w:color="auto"/>
                                <w:bottom w:val="none" w:sz="0" w:space="0" w:color="auto"/>
                                <w:right w:val="none" w:sz="0" w:space="0" w:color="auto"/>
                              </w:divBdr>
                            </w:div>
                          </w:divsChild>
                        </w:div>
                        <w:div w:id="13390778">
                          <w:marLeft w:val="-225"/>
                          <w:marRight w:val="-225"/>
                          <w:marTop w:val="0"/>
                          <w:marBottom w:val="0"/>
                          <w:divBdr>
                            <w:top w:val="none" w:sz="0" w:space="0" w:color="auto"/>
                            <w:left w:val="none" w:sz="0" w:space="0" w:color="auto"/>
                            <w:bottom w:val="none" w:sz="0" w:space="0" w:color="auto"/>
                            <w:right w:val="none" w:sz="0" w:space="0" w:color="auto"/>
                          </w:divBdr>
                          <w:divsChild>
                            <w:div w:id="27071106">
                              <w:marLeft w:val="0"/>
                              <w:marRight w:val="0"/>
                              <w:marTop w:val="0"/>
                              <w:marBottom w:val="0"/>
                              <w:divBdr>
                                <w:top w:val="none" w:sz="0" w:space="0" w:color="auto"/>
                                <w:left w:val="none" w:sz="0" w:space="0" w:color="auto"/>
                                <w:bottom w:val="none" w:sz="0" w:space="0" w:color="auto"/>
                                <w:right w:val="none" w:sz="0" w:space="0" w:color="auto"/>
                              </w:divBdr>
                            </w:div>
                          </w:divsChild>
                        </w:div>
                        <w:div w:id="2113357235">
                          <w:marLeft w:val="-225"/>
                          <w:marRight w:val="-225"/>
                          <w:marTop w:val="0"/>
                          <w:marBottom w:val="0"/>
                          <w:divBdr>
                            <w:top w:val="none" w:sz="0" w:space="0" w:color="auto"/>
                            <w:left w:val="none" w:sz="0" w:space="0" w:color="auto"/>
                            <w:bottom w:val="none" w:sz="0" w:space="0" w:color="auto"/>
                            <w:right w:val="none" w:sz="0" w:space="0" w:color="auto"/>
                          </w:divBdr>
                          <w:divsChild>
                            <w:div w:id="865827001">
                              <w:marLeft w:val="0"/>
                              <w:marRight w:val="0"/>
                              <w:marTop w:val="0"/>
                              <w:marBottom w:val="0"/>
                              <w:divBdr>
                                <w:top w:val="none" w:sz="0" w:space="0" w:color="auto"/>
                                <w:left w:val="none" w:sz="0" w:space="0" w:color="auto"/>
                                <w:bottom w:val="none" w:sz="0" w:space="0" w:color="auto"/>
                                <w:right w:val="none" w:sz="0" w:space="0" w:color="auto"/>
                              </w:divBdr>
                            </w:div>
                          </w:divsChild>
                        </w:div>
                        <w:div w:id="1136601821">
                          <w:marLeft w:val="-225"/>
                          <w:marRight w:val="-225"/>
                          <w:marTop w:val="0"/>
                          <w:marBottom w:val="0"/>
                          <w:divBdr>
                            <w:top w:val="none" w:sz="0" w:space="0" w:color="auto"/>
                            <w:left w:val="none" w:sz="0" w:space="0" w:color="auto"/>
                            <w:bottom w:val="none" w:sz="0" w:space="0" w:color="auto"/>
                            <w:right w:val="none" w:sz="0" w:space="0" w:color="auto"/>
                          </w:divBdr>
                          <w:divsChild>
                            <w:div w:id="1980957321">
                              <w:marLeft w:val="0"/>
                              <w:marRight w:val="0"/>
                              <w:marTop w:val="0"/>
                              <w:marBottom w:val="0"/>
                              <w:divBdr>
                                <w:top w:val="none" w:sz="0" w:space="0" w:color="auto"/>
                                <w:left w:val="none" w:sz="0" w:space="0" w:color="auto"/>
                                <w:bottom w:val="none" w:sz="0" w:space="0" w:color="auto"/>
                                <w:right w:val="none" w:sz="0" w:space="0" w:color="auto"/>
                              </w:divBdr>
                            </w:div>
                          </w:divsChild>
                        </w:div>
                        <w:div w:id="1283804630">
                          <w:marLeft w:val="-225"/>
                          <w:marRight w:val="-225"/>
                          <w:marTop w:val="0"/>
                          <w:marBottom w:val="0"/>
                          <w:divBdr>
                            <w:top w:val="none" w:sz="0" w:space="0" w:color="auto"/>
                            <w:left w:val="none" w:sz="0" w:space="0" w:color="auto"/>
                            <w:bottom w:val="none" w:sz="0" w:space="0" w:color="auto"/>
                            <w:right w:val="none" w:sz="0" w:space="0" w:color="auto"/>
                          </w:divBdr>
                          <w:divsChild>
                            <w:div w:id="1832911674">
                              <w:marLeft w:val="0"/>
                              <w:marRight w:val="0"/>
                              <w:marTop w:val="0"/>
                              <w:marBottom w:val="0"/>
                              <w:divBdr>
                                <w:top w:val="none" w:sz="0" w:space="0" w:color="auto"/>
                                <w:left w:val="none" w:sz="0" w:space="0" w:color="auto"/>
                                <w:bottom w:val="none" w:sz="0" w:space="0" w:color="auto"/>
                                <w:right w:val="none" w:sz="0" w:space="0" w:color="auto"/>
                              </w:divBdr>
                            </w:div>
                          </w:divsChild>
                        </w:div>
                        <w:div w:id="1711763017">
                          <w:marLeft w:val="-225"/>
                          <w:marRight w:val="-225"/>
                          <w:marTop w:val="0"/>
                          <w:marBottom w:val="0"/>
                          <w:divBdr>
                            <w:top w:val="none" w:sz="0" w:space="0" w:color="auto"/>
                            <w:left w:val="none" w:sz="0" w:space="0" w:color="auto"/>
                            <w:bottom w:val="none" w:sz="0" w:space="0" w:color="auto"/>
                            <w:right w:val="none" w:sz="0" w:space="0" w:color="auto"/>
                          </w:divBdr>
                          <w:divsChild>
                            <w:div w:id="892085974">
                              <w:marLeft w:val="0"/>
                              <w:marRight w:val="0"/>
                              <w:marTop w:val="0"/>
                              <w:marBottom w:val="0"/>
                              <w:divBdr>
                                <w:top w:val="none" w:sz="0" w:space="0" w:color="auto"/>
                                <w:left w:val="none" w:sz="0" w:space="0" w:color="auto"/>
                                <w:bottom w:val="none" w:sz="0" w:space="0" w:color="auto"/>
                                <w:right w:val="none" w:sz="0" w:space="0" w:color="auto"/>
                              </w:divBdr>
                            </w:div>
                          </w:divsChild>
                        </w:div>
                        <w:div w:id="473716822">
                          <w:marLeft w:val="-225"/>
                          <w:marRight w:val="-225"/>
                          <w:marTop w:val="0"/>
                          <w:marBottom w:val="0"/>
                          <w:divBdr>
                            <w:top w:val="none" w:sz="0" w:space="0" w:color="auto"/>
                            <w:left w:val="none" w:sz="0" w:space="0" w:color="auto"/>
                            <w:bottom w:val="none" w:sz="0" w:space="0" w:color="auto"/>
                            <w:right w:val="none" w:sz="0" w:space="0" w:color="auto"/>
                          </w:divBdr>
                          <w:divsChild>
                            <w:div w:id="398554404">
                              <w:marLeft w:val="0"/>
                              <w:marRight w:val="0"/>
                              <w:marTop w:val="0"/>
                              <w:marBottom w:val="0"/>
                              <w:divBdr>
                                <w:top w:val="none" w:sz="0" w:space="0" w:color="auto"/>
                                <w:left w:val="none" w:sz="0" w:space="0" w:color="auto"/>
                                <w:bottom w:val="none" w:sz="0" w:space="0" w:color="auto"/>
                                <w:right w:val="none" w:sz="0" w:space="0" w:color="auto"/>
                              </w:divBdr>
                            </w:div>
                          </w:divsChild>
                        </w:div>
                        <w:div w:id="1010260493">
                          <w:marLeft w:val="-225"/>
                          <w:marRight w:val="-225"/>
                          <w:marTop w:val="0"/>
                          <w:marBottom w:val="0"/>
                          <w:divBdr>
                            <w:top w:val="none" w:sz="0" w:space="0" w:color="auto"/>
                            <w:left w:val="none" w:sz="0" w:space="0" w:color="auto"/>
                            <w:bottom w:val="none" w:sz="0" w:space="0" w:color="auto"/>
                            <w:right w:val="none" w:sz="0" w:space="0" w:color="auto"/>
                          </w:divBdr>
                          <w:divsChild>
                            <w:div w:id="274798765">
                              <w:marLeft w:val="0"/>
                              <w:marRight w:val="0"/>
                              <w:marTop w:val="0"/>
                              <w:marBottom w:val="0"/>
                              <w:divBdr>
                                <w:top w:val="none" w:sz="0" w:space="0" w:color="auto"/>
                                <w:left w:val="none" w:sz="0" w:space="0" w:color="auto"/>
                                <w:bottom w:val="none" w:sz="0" w:space="0" w:color="auto"/>
                                <w:right w:val="none" w:sz="0" w:space="0" w:color="auto"/>
                              </w:divBdr>
                            </w:div>
                          </w:divsChild>
                        </w:div>
                        <w:div w:id="435098918">
                          <w:marLeft w:val="-225"/>
                          <w:marRight w:val="-225"/>
                          <w:marTop w:val="0"/>
                          <w:marBottom w:val="0"/>
                          <w:divBdr>
                            <w:top w:val="none" w:sz="0" w:space="0" w:color="auto"/>
                            <w:left w:val="none" w:sz="0" w:space="0" w:color="auto"/>
                            <w:bottom w:val="none" w:sz="0" w:space="0" w:color="auto"/>
                            <w:right w:val="none" w:sz="0" w:space="0" w:color="auto"/>
                          </w:divBdr>
                          <w:divsChild>
                            <w:div w:id="887186333">
                              <w:marLeft w:val="0"/>
                              <w:marRight w:val="0"/>
                              <w:marTop w:val="0"/>
                              <w:marBottom w:val="0"/>
                              <w:divBdr>
                                <w:top w:val="none" w:sz="0" w:space="0" w:color="auto"/>
                                <w:left w:val="none" w:sz="0" w:space="0" w:color="auto"/>
                                <w:bottom w:val="none" w:sz="0" w:space="0" w:color="auto"/>
                                <w:right w:val="none" w:sz="0" w:space="0" w:color="auto"/>
                              </w:divBdr>
                            </w:div>
                          </w:divsChild>
                        </w:div>
                        <w:div w:id="1432235446">
                          <w:marLeft w:val="-225"/>
                          <w:marRight w:val="-225"/>
                          <w:marTop w:val="0"/>
                          <w:marBottom w:val="0"/>
                          <w:divBdr>
                            <w:top w:val="none" w:sz="0" w:space="0" w:color="auto"/>
                            <w:left w:val="none" w:sz="0" w:space="0" w:color="auto"/>
                            <w:bottom w:val="none" w:sz="0" w:space="0" w:color="auto"/>
                            <w:right w:val="none" w:sz="0" w:space="0" w:color="auto"/>
                          </w:divBdr>
                          <w:divsChild>
                            <w:div w:id="1543666212">
                              <w:marLeft w:val="0"/>
                              <w:marRight w:val="0"/>
                              <w:marTop w:val="0"/>
                              <w:marBottom w:val="0"/>
                              <w:divBdr>
                                <w:top w:val="none" w:sz="0" w:space="0" w:color="auto"/>
                                <w:left w:val="none" w:sz="0" w:space="0" w:color="auto"/>
                                <w:bottom w:val="none" w:sz="0" w:space="0" w:color="auto"/>
                                <w:right w:val="none" w:sz="0" w:space="0" w:color="auto"/>
                              </w:divBdr>
                            </w:div>
                          </w:divsChild>
                        </w:div>
                        <w:div w:id="443311540">
                          <w:marLeft w:val="-225"/>
                          <w:marRight w:val="-225"/>
                          <w:marTop w:val="0"/>
                          <w:marBottom w:val="0"/>
                          <w:divBdr>
                            <w:top w:val="none" w:sz="0" w:space="0" w:color="auto"/>
                            <w:left w:val="none" w:sz="0" w:space="0" w:color="auto"/>
                            <w:bottom w:val="none" w:sz="0" w:space="0" w:color="auto"/>
                            <w:right w:val="none" w:sz="0" w:space="0" w:color="auto"/>
                          </w:divBdr>
                          <w:divsChild>
                            <w:div w:id="589773822">
                              <w:marLeft w:val="0"/>
                              <w:marRight w:val="0"/>
                              <w:marTop w:val="0"/>
                              <w:marBottom w:val="0"/>
                              <w:divBdr>
                                <w:top w:val="none" w:sz="0" w:space="0" w:color="auto"/>
                                <w:left w:val="none" w:sz="0" w:space="0" w:color="auto"/>
                                <w:bottom w:val="none" w:sz="0" w:space="0" w:color="auto"/>
                                <w:right w:val="none" w:sz="0" w:space="0" w:color="auto"/>
                              </w:divBdr>
                            </w:div>
                          </w:divsChild>
                        </w:div>
                        <w:div w:id="2124036054">
                          <w:marLeft w:val="-225"/>
                          <w:marRight w:val="-225"/>
                          <w:marTop w:val="0"/>
                          <w:marBottom w:val="0"/>
                          <w:divBdr>
                            <w:top w:val="none" w:sz="0" w:space="0" w:color="auto"/>
                            <w:left w:val="none" w:sz="0" w:space="0" w:color="auto"/>
                            <w:bottom w:val="none" w:sz="0" w:space="0" w:color="auto"/>
                            <w:right w:val="none" w:sz="0" w:space="0" w:color="auto"/>
                          </w:divBdr>
                          <w:divsChild>
                            <w:div w:id="1148597432">
                              <w:marLeft w:val="0"/>
                              <w:marRight w:val="0"/>
                              <w:marTop w:val="0"/>
                              <w:marBottom w:val="0"/>
                              <w:divBdr>
                                <w:top w:val="none" w:sz="0" w:space="0" w:color="auto"/>
                                <w:left w:val="none" w:sz="0" w:space="0" w:color="auto"/>
                                <w:bottom w:val="none" w:sz="0" w:space="0" w:color="auto"/>
                                <w:right w:val="none" w:sz="0" w:space="0" w:color="auto"/>
                              </w:divBdr>
                            </w:div>
                          </w:divsChild>
                        </w:div>
                        <w:div w:id="1440492908">
                          <w:marLeft w:val="-225"/>
                          <w:marRight w:val="-225"/>
                          <w:marTop w:val="0"/>
                          <w:marBottom w:val="0"/>
                          <w:divBdr>
                            <w:top w:val="none" w:sz="0" w:space="0" w:color="auto"/>
                            <w:left w:val="none" w:sz="0" w:space="0" w:color="auto"/>
                            <w:bottom w:val="none" w:sz="0" w:space="0" w:color="auto"/>
                            <w:right w:val="none" w:sz="0" w:space="0" w:color="auto"/>
                          </w:divBdr>
                          <w:divsChild>
                            <w:div w:id="777989295">
                              <w:marLeft w:val="0"/>
                              <w:marRight w:val="0"/>
                              <w:marTop w:val="0"/>
                              <w:marBottom w:val="0"/>
                              <w:divBdr>
                                <w:top w:val="none" w:sz="0" w:space="0" w:color="auto"/>
                                <w:left w:val="none" w:sz="0" w:space="0" w:color="auto"/>
                                <w:bottom w:val="none" w:sz="0" w:space="0" w:color="auto"/>
                                <w:right w:val="none" w:sz="0" w:space="0" w:color="auto"/>
                              </w:divBdr>
                            </w:div>
                          </w:divsChild>
                        </w:div>
                        <w:div w:id="1953437154">
                          <w:marLeft w:val="-225"/>
                          <w:marRight w:val="-225"/>
                          <w:marTop w:val="0"/>
                          <w:marBottom w:val="0"/>
                          <w:divBdr>
                            <w:top w:val="none" w:sz="0" w:space="0" w:color="auto"/>
                            <w:left w:val="none" w:sz="0" w:space="0" w:color="auto"/>
                            <w:bottom w:val="none" w:sz="0" w:space="0" w:color="auto"/>
                            <w:right w:val="none" w:sz="0" w:space="0" w:color="auto"/>
                          </w:divBdr>
                          <w:divsChild>
                            <w:div w:id="234509267">
                              <w:marLeft w:val="0"/>
                              <w:marRight w:val="0"/>
                              <w:marTop w:val="0"/>
                              <w:marBottom w:val="0"/>
                              <w:divBdr>
                                <w:top w:val="none" w:sz="0" w:space="0" w:color="auto"/>
                                <w:left w:val="none" w:sz="0" w:space="0" w:color="auto"/>
                                <w:bottom w:val="none" w:sz="0" w:space="0" w:color="auto"/>
                                <w:right w:val="none" w:sz="0" w:space="0" w:color="auto"/>
                              </w:divBdr>
                            </w:div>
                          </w:divsChild>
                        </w:div>
                        <w:div w:id="519394500">
                          <w:marLeft w:val="-225"/>
                          <w:marRight w:val="-225"/>
                          <w:marTop w:val="0"/>
                          <w:marBottom w:val="0"/>
                          <w:divBdr>
                            <w:top w:val="none" w:sz="0" w:space="0" w:color="auto"/>
                            <w:left w:val="none" w:sz="0" w:space="0" w:color="auto"/>
                            <w:bottom w:val="none" w:sz="0" w:space="0" w:color="auto"/>
                            <w:right w:val="none" w:sz="0" w:space="0" w:color="auto"/>
                          </w:divBdr>
                          <w:divsChild>
                            <w:div w:id="1081292654">
                              <w:marLeft w:val="0"/>
                              <w:marRight w:val="0"/>
                              <w:marTop w:val="0"/>
                              <w:marBottom w:val="75"/>
                              <w:divBdr>
                                <w:top w:val="none" w:sz="0" w:space="0" w:color="auto"/>
                                <w:left w:val="none" w:sz="0" w:space="0" w:color="auto"/>
                                <w:bottom w:val="none" w:sz="0" w:space="0" w:color="auto"/>
                                <w:right w:val="none" w:sz="0" w:space="0" w:color="auto"/>
                              </w:divBdr>
                              <w:divsChild>
                                <w:div w:id="4375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4031">
                          <w:marLeft w:val="-225"/>
                          <w:marRight w:val="-225"/>
                          <w:marTop w:val="0"/>
                          <w:marBottom w:val="0"/>
                          <w:divBdr>
                            <w:top w:val="none" w:sz="0" w:space="0" w:color="auto"/>
                            <w:left w:val="none" w:sz="0" w:space="0" w:color="auto"/>
                            <w:bottom w:val="none" w:sz="0" w:space="0" w:color="auto"/>
                            <w:right w:val="none" w:sz="0" w:space="0" w:color="auto"/>
                          </w:divBdr>
                          <w:divsChild>
                            <w:div w:id="210503222">
                              <w:marLeft w:val="0"/>
                              <w:marRight w:val="0"/>
                              <w:marTop w:val="0"/>
                              <w:marBottom w:val="0"/>
                              <w:divBdr>
                                <w:top w:val="none" w:sz="0" w:space="0" w:color="auto"/>
                                <w:left w:val="none" w:sz="0" w:space="0" w:color="auto"/>
                                <w:bottom w:val="none" w:sz="0" w:space="0" w:color="auto"/>
                                <w:right w:val="none" w:sz="0" w:space="0" w:color="auto"/>
                              </w:divBdr>
                            </w:div>
                          </w:divsChild>
                        </w:div>
                        <w:div w:id="627662159">
                          <w:marLeft w:val="-225"/>
                          <w:marRight w:val="-225"/>
                          <w:marTop w:val="0"/>
                          <w:marBottom w:val="0"/>
                          <w:divBdr>
                            <w:top w:val="none" w:sz="0" w:space="0" w:color="auto"/>
                            <w:left w:val="none" w:sz="0" w:space="0" w:color="auto"/>
                            <w:bottom w:val="none" w:sz="0" w:space="0" w:color="auto"/>
                            <w:right w:val="none" w:sz="0" w:space="0" w:color="auto"/>
                          </w:divBdr>
                          <w:divsChild>
                            <w:div w:id="435247581">
                              <w:marLeft w:val="0"/>
                              <w:marRight w:val="0"/>
                              <w:marTop w:val="0"/>
                              <w:marBottom w:val="0"/>
                              <w:divBdr>
                                <w:top w:val="none" w:sz="0" w:space="0" w:color="auto"/>
                                <w:left w:val="none" w:sz="0" w:space="0" w:color="auto"/>
                                <w:bottom w:val="none" w:sz="0" w:space="0" w:color="auto"/>
                                <w:right w:val="none" w:sz="0" w:space="0" w:color="auto"/>
                              </w:divBdr>
                            </w:div>
                          </w:divsChild>
                        </w:div>
                        <w:div w:id="190072214">
                          <w:marLeft w:val="-225"/>
                          <w:marRight w:val="-225"/>
                          <w:marTop w:val="0"/>
                          <w:marBottom w:val="0"/>
                          <w:divBdr>
                            <w:top w:val="none" w:sz="0" w:space="0" w:color="auto"/>
                            <w:left w:val="none" w:sz="0" w:space="0" w:color="auto"/>
                            <w:bottom w:val="none" w:sz="0" w:space="0" w:color="auto"/>
                            <w:right w:val="none" w:sz="0" w:space="0" w:color="auto"/>
                          </w:divBdr>
                          <w:divsChild>
                            <w:div w:id="1119910988">
                              <w:marLeft w:val="0"/>
                              <w:marRight w:val="0"/>
                              <w:marTop w:val="0"/>
                              <w:marBottom w:val="0"/>
                              <w:divBdr>
                                <w:top w:val="none" w:sz="0" w:space="0" w:color="auto"/>
                                <w:left w:val="none" w:sz="0" w:space="0" w:color="auto"/>
                                <w:bottom w:val="none" w:sz="0" w:space="0" w:color="auto"/>
                                <w:right w:val="none" w:sz="0" w:space="0" w:color="auto"/>
                              </w:divBdr>
                            </w:div>
                          </w:divsChild>
                        </w:div>
                        <w:div w:id="852108214">
                          <w:marLeft w:val="-225"/>
                          <w:marRight w:val="-225"/>
                          <w:marTop w:val="0"/>
                          <w:marBottom w:val="0"/>
                          <w:divBdr>
                            <w:top w:val="none" w:sz="0" w:space="0" w:color="auto"/>
                            <w:left w:val="none" w:sz="0" w:space="0" w:color="auto"/>
                            <w:bottom w:val="none" w:sz="0" w:space="0" w:color="auto"/>
                            <w:right w:val="none" w:sz="0" w:space="0" w:color="auto"/>
                          </w:divBdr>
                          <w:divsChild>
                            <w:div w:id="660934365">
                              <w:marLeft w:val="0"/>
                              <w:marRight w:val="0"/>
                              <w:marTop w:val="0"/>
                              <w:marBottom w:val="0"/>
                              <w:divBdr>
                                <w:top w:val="none" w:sz="0" w:space="0" w:color="auto"/>
                                <w:left w:val="none" w:sz="0" w:space="0" w:color="auto"/>
                                <w:bottom w:val="none" w:sz="0" w:space="0" w:color="auto"/>
                                <w:right w:val="none" w:sz="0" w:space="0" w:color="auto"/>
                              </w:divBdr>
                            </w:div>
                          </w:divsChild>
                        </w:div>
                        <w:div w:id="1398357535">
                          <w:marLeft w:val="-225"/>
                          <w:marRight w:val="-225"/>
                          <w:marTop w:val="0"/>
                          <w:marBottom w:val="0"/>
                          <w:divBdr>
                            <w:top w:val="none" w:sz="0" w:space="0" w:color="auto"/>
                            <w:left w:val="none" w:sz="0" w:space="0" w:color="auto"/>
                            <w:bottom w:val="none" w:sz="0" w:space="0" w:color="auto"/>
                            <w:right w:val="none" w:sz="0" w:space="0" w:color="auto"/>
                          </w:divBdr>
                          <w:divsChild>
                            <w:div w:id="35081911">
                              <w:marLeft w:val="0"/>
                              <w:marRight w:val="0"/>
                              <w:marTop w:val="0"/>
                              <w:marBottom w:val="0"/>
                              <w:divBdr>
                                <w:top w:val="none" w:sz="0" w:space="0" w:color="auto"/>
                                <w:left w:val="none" w:sz="0" w:space="0" w:color="auto"/>
                                <w:bottom w:val="none" w:sz="0" w:space="0" w:color="auto"/>
                                <w:right w:val="none" w:sz="0" w:space="0" w:color="auto"/>
                              </w:divBdr>
                            </w:div>
                          </w:divsChild>
                        </w:div>
                        <w:div w:id="1527672114">
                          <w:marLeft w:val="-225"/>
                          <w:marRight w:val="-225"/>
                          <w:marTop w:val="0"/>
                          <w:marBottom w:val="0"/>
                          <w:divBdr>
                            <w:top w:val="none" w:sz="0" w:space="0" w:color="auto"/>
                            <w:left w:val="none" w:sz="0" w:space="0" w:color="auto"/>
                            <w:bottom w:val="none" w:sz="0" w:space="0" w:color="auto"/>
                            <w:right w:val="none" w:sz="0" w:space="0" w:color="auto"/>
                          </w:divBdr>
                          <w:divsChild>
                            <w:div w:id="889807454">
                              <w:marLeft w:val="0"/>
                              <w:marRight w:val="0"/>
                              <w:marTop w:val="0"/>
                              <w:marBottom w:val="0"/>
                              <w:divBdr>
                                <w:top w:val="none" w:sz="0" w:space="0" w:color="auto"/>
                                <w:left w:val="none" w:sz="0" w:space="0" w:color="auto"/>
                                <w:bottom w:val="none" w:sz="0" w:space="0" w:color="auto"/>
                                <w:right w:val="none" w:sz="0" w:space="0" w:color="auto"/>
                              </w:divBdr>
                            </w:div>
                          </w:divsChild>
                        </w:div>
                        <w:div w:id="675958316">
                          <w:marLeft w:val="-225"/>
                          <w:marRight w:val="-225"/>
                          <w:marTop w:val="0"/>
                          <w:marBottom w:val="0"/>
                          <w:divBdr>
                            <w:top w:val="none" w:sz="0" w:space="0" w:color="auto"/>
                            <w:left w:val="none" w:sz="0" w:space="0" w:color="auto"/>
                            <w:bottom w:val="none" w:sz="0" w:space="0" w:color="auto"/>
                            <w:right w:val="none" w:sz="0" w:space="0" w:color="auto"/>
                          </w:divBdr>
                          <w:divsChild>
                            <w:div w:id="1103457645">
                              <w:marLeft w:val="0"/>
                              <w:marRight w:val="0"/>
                              <w:marTop w:val="0"/>
                              <w:marBottom w:val="0"/>
                              <w:divBdr>
                                <w:top w:val="none" w:sz="0" w:space="0" w:color="auto"/>
                                <w:left w:val="none" w:sz="0" w:space="0" w:color="auto"/>
                                <w:bottom w:val="none" w:sz="0" w:space="0" w:color="auto"/>
                                <w:right w:val="none" w:sz="0" w:space="0" w:color="auto"/>
                              </w:divBdr>
                            </w:div>
                          </w:divsChild>
                        </w:div>
                        <w:div w:id="1189414216">
                          <w:marLeft w:val="-225"/>
                          <w:marRight w:val="-225"/>
                          <w:marTop w:val="0"/>
                          <w:marBottom w:val="0"/>
                          <w:divBdr>
                            <w:top w:val="none" w:sz="0" w:space="0" w:color="auto"/>
                            <w:left w:val="none" w:sz="0" w:space="0" w:color="auto"/>
                            <w:bottom w:val="none" w:sz="0" w:space="0" w:color="auto"/>
                            <w:right w:val="none" w:sz="0" w:space="0" w:color="auto"/>
                          </w:divBdr>
                          <w:divsChild>
                            <w:div w:id="389697800">
                              <w:marLeft w:val="0"/>
                              <w:marRight w:val="0"/>
                              <w:marTop w:val="0"/>
                              <w:marBottom w:val="0"/>
                              <w:divBdr>
                                <w:top w:val="none" w:sz="0" w:space="0" w:color="auto"/>
                                <w:left w:val="none" w:sz="0" w:space="0" w:color="auto"/>
                                <w:bottom w:val="none" w:sz="0" w:space="0" w:color="auto"/>
                                <w:right w:val="none" w:sz="0" w:space="0" w:color="auto"/>
                              </w:divBdr>
                            </w:div>
                          </w:divsChild>
                        </w:div>
                        <w:div w:id="360981810">
                          <w:marLeft w:val="-225"/>
                          <w:marRight w:val="-225"/>
                          <w:marTop w:val="0"/>
                          <w:marBottom w:val="0"/>
                          <w:divBdr>
                            <w:top w:val="none" w:sz="0" w:space="0" w:color="auto"/>
                            <w:left w:val="none" w:sz="0" w:space="0" w:color="auto"/>
                            <w:bottom w:val="none" w:sz="0" w:space="0" w:color="auto"/>
                            <w:right w:val="none" w:sz="0" w:space="0" w:color="auto"/>
                          </w:divBdr>
                          <w:divsChild>
                            <w:div w:id="851378507">
                              <w:marLeft w:val="0"/>
                              <w:marRight w:val="0"/>
                              <w:marTop w:val="0"/>
                              <w:marBottom w:val="0"/>
                              <w:divBdr>
                                <w:top w:val="none" w:sz="0" w:space="0" w:color="auto"/>
                                <w:left w:val="none" w:sz="0" w:space="0" w:color="auto"/>
                                <w:bottom w:val="none" w:sz="0" w:space="0" w:color="auto"/>
                                <w:right w:val="none" w:sz="0" w:space="0" w:color="auto"/>
                              </w:divBdr>
                            </w:div>
                          </w:divsChild>
                        </w:div>
                        <w:div w:id="436953308">
                          <w:marLeft w:val="-225"/>
                          <w:marRight w:val="-225"/>
                          <w:marTop w:val="0"/>
                          <w:marBottom w:val="0"/>
                          <w:divBdr>
                            <w:top w:val="none" w:sz="0" w:space="0" w:color="auto"/>
                            <w:left w:val="none" w:sz="0" w:space="0" w:color="auto"/>
                            <w:bottom w:val="none" w:sz="0" w:space="0" w:color="auto"/>
                            <w:right w:val="none" w:sz="0" w:space="0" w:color="auto"/>
                          </w:divBdr>
                          <w:divsChild>
                            <w:div w:id="295188301">
                              <w:marLeft w:val="0"/>
                              <w:marRight w:val="0"/>
                              <w:marTop w:val="0"/>
                              <w:marBottom w:val="0"/>
                              <w:divBdr>
                                <w:top w:val="none" w:sz="0" w:space="0" w:color="auto"/>
                                <w:left w:val="none" w:sz="0" w:space="0" w:color="auto"/>
                                <w:bottom w:val="none" w:sz="0" w:space="0" w:color="auto"/>
                                <w:right w:val="none" w:sz="0" w:space="0" w:color="auto"/>
                              </w:divBdr>
                            </w:div>
                          </w:divsChild>
                        </w:div>
                        <w:div w:id="364911318">
                          <w:marLeft w:val="-225"/>
                          <w:marRight w:val="-225"/>
                          <w:marTop w:val="0"/>
                          <w:marBottom w:val="0"/>
                          <w:divBdr>
                            <w:top w:val="none" w:sz="0" w:space="0" w:color="auto"/>
                            <w:left w:val="none" w:sz="0" w:space="0" w:color="auto"/>
                            <w:bottom w:val="none" w:sz="0" w:space="0" w:color="auto"/>
                            <w:right w:val="none" w:sz="0" w:space="0" w:color="auto"/>
                          </w:divBdr>
                          <w:divsChild>
                            <w:div w:id="2562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3076">
                      <w:marLeft w:val="-225"/>
                      <w:marRight w:val="-225"/>
                      <w:marTop w:val="600"/>
                      <w:marBottom w:val="600"/>
                      <w:divBdr>
                        <w:top w:val="none" w:sz="0" w:space="0" w:color="auto"/>
                        <w:left w:val="none" w:sz="0" w:space="0" w:color="auto"/>
                        <w:bottom w:val="none" w:sz="0" w:space="0" w:color="auto"/>
                        <w:right w:val="none" w:sz="0" w:space="0" w:color="auto"/>
                      </w:divBdr>
                      <w:divsChild>
                        <w:div w:id="421924452">
                          <w:marLeft w:val="0"/>
                          <w:marRight w:val="0"/>
                          <w:marTop w:val="0"/>
                          <w:marBottom w:val="0"/>
                          <w:divBdr>
                            <w:top w:val="none" w:sz="0" w:space="0" w:color="auto"/>
                            <w:left w:val="none" w:sz="0" w:space="0" w:color="auto"/>
                            <w:bottom w:val="none" w:sz="0" w:space="0" w:color="auto"/>
                            <w:right w:val="none" w:sz="0" w:space="0" w:color="auto"/>
                          </w:divBdr>
                          <w:divsChild>
                            <w:div w:id="142936950">
                              <w:marLeft w:val="0"/>
                              <w:marRight w:val="0"/>
                              <w:marTop w:val="0"/>
                              <w:marBottom w:val="0"/>
                              <w:divBdr>
                                <w:top w:val="none" w:sz="0" w:space="0" w:color="auto"/>
                                <w:left w:val="none" w:sz="0" w:space="0" w:color="auto"/>
                                <w:bottom w:val="none" w:sz="0" w:space="0" w:color="auto"/>
                                <w:right w:val="none" w:sz="0" w:space="0" w:color="auto"/>
                              </w:divBdr>
                            </w:div>
                            <w:div w:id="8901168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ion.com/el-pais/politica/imito-la-corte-las-medidas-de-ahorro-que-el/HB3JPRVZS5AZDGVZHPI2J27SMY/story/" TargetMode="External"/><Relationship Id="rId4" Type="http://schemas.openxmlformats.org/officeDocument/2006/relationships/hyperlink" Target="https://www.nacion.com/autores/silvia-artav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6214</Characters>
  <Application>Microsoft Office Word</Application>
  <DocSecurity>0</DocSecurity>
  <Lines>51</Lines>
  <Paragraphs>14</Paragraphs>
  <ScaleCrop>false</ScaleCrop>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rpiedram</dc:creator>
  <cp:lastModifiedBy>fcordero</cp:lastModifiedBy>
  <cp:revision>2</cp:revision>
  <dcterms:created xsi:type="dcterms:W3CDTF">2018-06-26T19:34:00Z</dcterms:created>
  <dcterms:modified xsi:type="dcterms:W3CDTF">2018-06-26T19:34:00Z</dcterms:modified>
</cp:coreProperties>
</file>